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B18A2" w14:textId="42FE5B84" w:rsidR="007A283B" w:rsidRDefault="007A283B" w:rsidP="007A283B">
      <w:pPr>
        <w:rPr>
          <w:rFonts w:ascii="Arial" w:eastAsia="Arial" w:hAnsi="Arial" w:cs="Arial"/>
          <w:b/>
          <w:color w:val="53575A"/>
          <w:sz w:val="24"/>
          <w:szCs w:val="24"/>
        </w:rPr>
      </w:pPr>
      <w:r>
        <w:rPr>
          <w:rFonts w:ascii="Arial" w:eastAsia="Arial" w:hAnsi="Arial" w:cs="Arial"/>
          <w:b/>
          <w:color w:val="53575A"/>
          <w:sz w:val="24"/>
          <w:szCs w:val="24"/>
        </w:rPr>
        <w:t>Press Release No:</w:t>
      </w:r>
      <w:r w:rsidR="00CD2F48">
        <w:rPr>
          <w:rFonts w:ascii="Arial" w:eastAsia="Arial" w:hAnsi="Arial" w:cs="Arial"/>
          <w:b/>
          <w:color w:val="53575A"/>
          <w:sz w:val="24"/>
          <w:szCs w:val="24"/>
        </w:rPr>
        <w:t xml:space="preserve"> 04/2023</w:t>
      </w:r>
      <w:r>
        <w:rPr>
          <w:rFonts w:ascii="Arial" w:eastAsia="Arial" w:hAnsi="Arial" w:cs="Arial"/>
          <w:b/>
          <w:color w:val="53575A"/>
          <w:sz w:val="24"/>
          <w:szCs w:val="24"/>
        </w:rPr>
        <w:tab/>
      </w:r>
      <w:r>
        <w:rPr>
          <w:rFonts w:ascii="Arial" w:eastAsia="Arial" w:hAnsi="Arial" w:cs="Arial"/>
          <w:b/>
          <w:color w:val="53575A"/>
          <w:sz w:val="24"/>
          <w:szCs w:val="24"/>
        </w:rPr>
        <w:tab/>
      </w:r>
      <w:r>
        <w:rPr>
          <w:rFonts w:ascii="Arial" w:eastAsia="Arial" w:hAnsi="Arial" w:cs="Arial"/>
          <w:b/>
          <w:color w:val="53575A"/>
          <w:sz w:val="24"/>
          <w:szCs w:val="24"/>
        </w:rPr>
        <w:tab/>
      </w:r>
      <w:r>
        <w:rPr>
          <w:rFonts w:ascii="Arial" w:eastAsia="Arial" w:hAnsi="Arial" w:cs="Arial"/>
          <w:b/>
          <w:color w:val="53575A"/>
          <w:sz w:val="24"/>
          <w:szCs w:val="24"/>
        </w:rPr>
        <w:tab/>
      </w:r>
      <w:r w:rsidR="00CD2F48">
        <w:rPr>
          <w:rFonts w:ascii="Arial" w:eastAsia="Arial" w:hAnsi="Arial" w:cs="Arial"/>
          <w:b/>
          <w:color w:val="53575A"/>
          <w:sz w:val="24"/>
          <w:szCs w:val="24"/>
        </w:rPr>
        <w:tab/>
      </w:r>
      <w:r>
        <w:rPr>
          <w:rFonts w:ascii="Arial" w:eastAsia="Arial" w:hAnsi="Arial" w:cs="Arial"/>
          <w:b/>
          <w:color w:val="53575A"/>
          <w:sz w:val="24"/>
          <w:szCs w:val="24"/>
        </w:rPr>
        <w:t xml:space="preserve">Date: </w:t>
      </w:r>
      <w:r w:rsidR="008F0805">
        <w:rPr>
          <w:rFonts w:ascii="Arial" w:eastAsia="Arial" w:hAnsi="Arial" w:cs="Arial"/>
          <w:b/>
          <w:color w:val="53575A"/>
          <w:sz w:val="24"/>
          <w:szCs w:val="24"/>
        </w:rPr>
        <w:t xml:space="preserve">24 </w:t>
      </w:r>
      <w:r w:rsidR="00603EA0">
        <w:rPr>
          <w:rFonts w:ascii="Arial" w:eastAsia="Arial" w:hAnsi="Arial" w:cs="Arial"/>
          <w:b/>
          <w:color w:val="53575A"/>
          <w:sz w:val="24"/>
          <w:szCs w:val="24"/>
        </w:rPr>
        <w:t>avril</w:t>
      </w:r>
      <w:r>
        <w:rPr>
          <w:rFonts w:ascii="Arial" w:eastAsia="Arial" w:hAnsi="Arial" w:cs="Arial"/>
          <w:b/>
          <w:color w:val="53575A"/>
          <w:sz w:val="24"/>
          <w:szCs w:val="24"/>
        </w:rPr>
        <w:t xml:space="preserve"> 2023</w:t>
      </w:r>
      <w:r>
        <w:rPr>
          <w:rFonts w:ascii="Arial" w:eastAsia="Arial" w:hAnsi="Arial" w:cs="Arial"/>
          <w:b/>
          <w:color w:val="53575A"/>
          <w:sz w:val="24"/>
          <w:szCs w:val="24"/>
        </w:rPr>
        <w:br/>
      </w:r>
      <w:r w:rsidR="00603EA0">
        <w:rPr>
          <w:rFonts w:ascii="Arial" w:eastAsia="Arial" w:hAnsi="Arial" w:cs="Arial"/>
          <w:b/>
          <w:color w:val="53575A"/>
          <w:sz w:val="24"/>
          <w:szCs w:val="24"/>
        </w:rPr>
        <w:t>Lieu</w:t>
      </w:r>
      <w:r>
        <w:rPr>
          <w:rFonts w:ascii="Arial" w:eastAsia="Arial" w:hAnsi="Arial" w:cs="Arial"/>
          <w:b/>
          <w:color w:val="53575A"/>
          <w:sz w:val="24"/>
          <w:szCs w:val="24"/>
        </w:rPr>
        <w:t>: Lomé, Togo</w:t>
      </w:r>
      <w:r>
        <w:rPr>
          <w:rFonts w:ascii="Arial" w:eastAsia="Arial" w:hAnsi="Arial" w:cs="Arial"/>
          <w:color w:val="53575A"/>
          <w:sz w:val="24"/>
          <w:szCs w:val="24"/>
        </w:rPr>
        <w:tab/>
      </w:r>
      <w:r>
        <w:rPr>
          <w:rFonts w:ascii="Arial" w:eastAsia="Arial" w:hAnsi="Arial" w:cs="Arial"/>
          <w:b/>
          <w:color w:val="53575A"/>
          <w:sz w:val="24"/>
          <w:szCs w:val="24"/>
        </w:rPr>
        <w:tab/>
      </w:r>
      <w:r>
        <w:rPr>
          <w:rFonts w:ascii="Arial" w:eastAsia="Arial" w:hAnsi="Arial" w:cs="Arial"/>
          <w:b/>
          <w:color w:val="53575A"/>
          <w:sz w:val="24"/>
          <w:szCs w:val="24"/>
        </w:rPr>
        <w:tab/>
        <w:t xml:space="preserve">    </w:t>
      </w:r>
    </w:p>
    <w:p w14:paraId="74ACC103" w14:textId="77777777" w:rsidR="007A283B" w:rsidRDefault="007A283B" w:rsidP="007A283B">
      <w:pPr>
        <w:spacing w:after="0" w:line="240" w:lineRule="auto"/>
        <w:jc w:val="both"/>
        <w:rPr>
          <w:rFonts w:ascii="Arial" w:eastAsia="Arial" w:hAnsi="Arial" w:cs="Arial"/>
          <w:color w:val="53575A"/>
        </w:rPr>
      </w:pPr>
    </w:p>
    <w:p w14:paraId="227578D7" w14:textId="7B77F5CC" w:rsidR="007A283B" w:rsidRPr="001779A5" w:rsidRDefault="001779A5" w:rsidP="007A283B">
      <w:pPr>
        <w:spacing w:after="0" w:line="240" w:lineRule="auto"/>
        <w:jc w:val="center"/>
        <w:rPr>
          <w:rFonts w:ascii="Quattrocento Sans" w:eastAsia="Quattrocento Sans" w:hAnsi="Quattrocento Sans" w:cs="Quattrocento Sans"/>
          <w:b/>
          <w:sz w:val="24"/>
          <w:szCs w:val="24"/>
          <w:lang w:val="fr-FR"/>
        </w:rPr>
      </w:pPr>
      <w:r w:rsidRPr="001779A5">
        <w:rPr>
          <w:rFonts w:ascii="Quattrocento Sans" w:eastAsia="Quattrocento Sans" w:hAnsi="Quattrocento Sans" w:cs="Quattrocento Sans"/>
          <w:b/>
          <w:sz w:val="24"/>
          <w:szCs w:val="24"/>
          <w:lang w:val="fr-FR"/>
        </w:rPr>
        <w:t xml:space="preserve">La </w:t>
      </w:r>
      <w:r w:rsidR="0006720E" w:rsidRPr="0006720E">
        <w:rPr>
          <w:rFonts w:ascii="Quattrocento Sans" w:eastAsia="Quattrocento Sans" w:hAnsi="Quattrocento Sans" w:cs="Quattrocento Sans"/>
          <w:b/>
          <w:sz w:val="24"/>
          <w:szCs w:val="24"/>
          <w:lang w:val="fr-FR"/>
        </w:rPr>
        <w:t xml:space="preserve">Commission africaine de l'énergie (AFREC) et la Division des statistiques des Nations unies (UNSD) collaborent pour améliorer la gestion des données sur la bioénergie en </w:t>
      </w:r>
      <w:r w:rsidR="0006720E">
        <w:rPr>
          <w:rFonts w:ascii="Quattrocento Sans" w:eastAsia="Quattrocento Sans" w:hAnsi="Quattrocento Sans" w:cs="Quattrocento Sans"/>
          <w:b/>
          <w:sz w:val="24"/>
          <w:szCs w:val="24"/>
          <w:lang w:val="fr-FR"/>
        </w:rPr>
        <w:t>Afrique</w:t>
      </w:r>
    </w:p>
    <w:p w14:paraId="74968A52" w14:textId="705A6155" w:rsidR="007B7E0A" w:rsidRPr="001779A5" w:rsidRDefault="007B7E0A" w:rsidP="007A283B">
      <w:pPr>
        <w:spacing w:after="0" w:line="240" w:lineRule="auto"/>
        <w:ind w:left="6480"/>
        <w:jc w:val="both"/>
        <w:rPr>
          <w:rFonts w:ascii="Quattrocento Sans" w:eastAsia="Quattrocento Sans" w:hAnsi="Quattrocento Sans" w:cs="Quattrocento Sans"/>
          <w:i/>
          <w:sz w:val="24"/>
          <w:szCs w:val="24"/>
          <w:lang w:val="fr-FR"/>
        </w:rPr>
      </w:pPr>
    </w:p>
    <w:p w14:paraId="58207D38" w14:textId="5AED8501" w:rsidR="001779A5" w:rsidRPr="001779A5" w:rsidRDefault="007B7E0A" w:rsidP="001779A5">
      <w:pPr>
        <w:spacing w:after="0" w:line="240" w:lineRule="auto"/>
        <w:ind w:left="6480"/>
        <w:jc w:val="both"/>
        <w:rPr>
          <w:rFonts w:ascii="Arial" w:eastAsia="Arial" w:hAnsi="Arial" w:cs="Arial"/>
          <w:lang w:val="fr-FR"/>
        </w:rPr>
      </w:pPr>
      <w:r w:rsidRPr="001779A5">
        <w:rPr>
          <w:noProof/>
        </w:rPr>
        <w:drawing>
          <wp:anchor distT="0" distB="0" distL="114300" distR="114300" simplePos="0" relativeHeight="251658240" behindDoc="0" locked="0" layoutInCell="1" allowOverlap="1" wp14:anchorId="331EF624" wp14:editId="48E48564">
            <wp:simplePos x="0" y="0"/>
            <wp:positionH relativeFrom="margin">
              <wp:align>left</wp:align>
            </wp:positionH>
            <wp:positionV relativeFrom="paragraph">
              <wp:posOffset>3810</wp:posOffset>
            </wp:positionV>
            <wp:extent cx="3997960" cy="2717800"/>
            <wp:effectExtent l="0" t="0" r="2540" b="6350"/>
            <wp:wrapSquare wrapText="bothSides"/>
            <wp:docPr id="8183123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97960" cy="2717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79A5" w:rsidRPr="001779A5">
        <w:rPr>
          <w:rFonts w:ascii="Arial" w:eastAsia="Arial" w:hAnsi="Arial" w:cs="Arial"/>
          <w:lang w:val="fr-FR"/>
        </w:rPr>
        <w:t xml:space="preserve">24 - 26 avril 2023, Lomé, Togo : La Commission africaine de l'énergie (AFREC) en collaboration avec la Division des statistiques des Nations unies (UNSD) a organisé </w:t>
      </w:r>
      <w:proofErr w:type="gramStart"/>
      <w:r w:rsidR="001779A5" w:rsidRPr="001779A5">
        <w:rPr>
          <w:rFonts w:ascii="Arial" w:eastAsia="Arial" w:hAnsi="Arial" w:cs="Arial"/>
          <w:lang w:val="fr-FR"/>
        </w:rPr>
        <w:t>un</w:t>
      </w:r>
      <w:proofErr w:type="gramEnd"/>
      <w:r w:rsidR="001779A5" w:rsidRPr="001779A5">
        <w:rPr>
          <w:rFonts w:ascii="Arial" w:eastAsia="Arial" w:hAnsi="Arial" w:cs="Arial"/>
          <w:lang w:val="fr-FR"/>
        </w:rPr>
        <w:t xml:space="preserve"> atelier de trois jours pour discuter du Cadre stratégique pour la gestion des données sur la bioénergie en Afrique (AFBIDM).</w:t>
      </w:r>
    </w:p>
    <w:p w14:paraId="22826026" w14:textId="77777777" w:rsidR="001779A5" w:rsidRPr="001779A5" w:rsidRDefault="001779A5" w:rsidP="001779A5">
      <w:pPr>
        <w:spacing w:after="0" w:line="240" w:lineRule="auto"/>
        <w:jc w:val="both"/>
        <w:rPr>
          <w:rFonts w:ascii="Arial" w:eastAsia="Arial" w:hAnsi="Arial" w:cs="Arial"/>
          <w:lang w:val="fr-FR"/>
        </w:rPr>
      </w:pPr>
    </w:p>
    <w:p w14:paraId="433A164D" w14:textId="33DA61D4" w:rsidR="001779A5" w:rsidRDefault="00D11710" w:rsidP="001779A5">
      <w:pPr>
        <w:spacing w:after="0" w:line="240" w:lineRule="auto"/>
        <w:jc w:val="both"/>
        <w:rPr>
          <w:rFonts w:ascii="Arial" w:eastAsia="Arial" w:hAnsi="Arial" w:cs="Arial"/>
          <w:lang w:val="fr-FR"/>
        </w:rPr>
      </w:pPr>
      <w:r w:rsidRPr="00D11710">
        <w:rPr>
          <w:rFonts w:ascii="Arial" w:eastAsia="Arial" w:hAnsi="Arial" w:cs="Arial"/>
          <w:lang w:val="fr-FR"/>
        </w:rPr>
        <w:t xml:space="preserve">L'objectif de l'atelier est de fournir une plateforme aux États membres de l'Union africaine (UA) pour partager les expériences, les connaissances et les meilleures pratiques dans la collecte, la gestion et la diffusion des données bioénergétiques sur le continent, ainsi que pour renforcer les capacités des bureaux nationaux de statistiques et des experts en énergie. Dix (10) États membres de l'UA ont participé à l'atelier, à savoir : le Nigeria, la République démocratique du Congo, le Kenya, l'Ouganda et la Tanzanie :  Nigeria, RD Congo, Kenya, Ouganda, Côte d'Ivoire, Mozambique, Éthiopie, Eswatini, Tunisie et Togo. Chaque pays était représenté par un statisticien de l'énergie du ministère de l'énergie et un </w:t>
      </w:r>
      <w:r>
        <w:rPr>
          <w:rFonts w:ascii="Arial" w:eastAsia="Arial" w:hAnsi="Arial" w:cs="Arial"/>
          <w:lang w:val="fr-FR"/>
        </w:rPr>
        <w:t>Expert</w:t>
      </w:r>
      <w:r w:rsidRPr="00D11710">
        <w:rPr>
          <w:rFonts w:ascii="Arial" w:eastAsia="Arial" w:hAnsi="Arial" w:cs="Arial"/>
          <w:lang w:val="fr-FR"/>
        </w:rPr>
        <w:t xml:space="preserve"> du bureau national des statistiques.</w:t>
      </w:r>
    </w:p>
    <w:p w14:paraId="24D55A4A" w14:textId="77777777" w:rsidR="00D11710" w:rsidRPr="001779A5" w:rsidRDefault="00D11710" w:rsidP="001779A5">
      <w:pPr>
        <w:spacing w:after="0" w:line="240" w:lineRule="auto"/>
        <w:jc w:val="both"/>
        <w:rPr>
          <w:rFonts w:ascii="Arial" w:eastAsia="Arial" w:hAnsi="Arial" w:cs="Arial"/>
          <w:lang w:val="fr-FR"/>
        </w:rPr>
      </w:pPr>
    </w:p>
    <w:p w14:paraId="4F7DFE07" w14:textId="22100529" w:rsidR="00D11710" w:rsidRPr="00D11710" w:rsidRDefault="00D11710" w:rsidP="00D11710">
      <w:pPr>
        <w:spacing w:after="0" w:line="240" w:lineRule="auto"/>
        <w:jc w:val="both"/>
        <w:rPr>
          <w:rFonts w:ascii="Arial" w:eastAsia="Arial" w:hAnsi="Arial" w:cs="Arial"/>
          <w:lang w:val="fr-FR"/>
        </w:rPr>
      </w:pPr>
      <w:r w:rsidRPr="00D11710">
        <w:rPr>
          <w:rFonts w:ascii="Arial" w:eastAsia="Arial" w:hAnsi="Arial" w:cs="Arial"/>
          <w:lang w:val="fr-FR"/>
        </w:rPr>
        <w:t>L'atelier a été officiellement ouvert par M. Abdoulaye OUEDDO</w:t>
      </w:r>
      <w:r>
        <w:rPr>
          <w:rFonts w:ascii="Arial" w:eastAsia="Arial" w:hAnsi="Arial" w:cs="Arial"/>
          <w:lang w:val="fr-FR"/>
        </w:rPr>
        <w:t xml:space="preserve">, responsable du système d’information énergétique africain au sein de l’AFREC. S’exprimant </w:t>
      </w:r>
      <w:r w:rsidRPr="00D11710">
        <w:rPr>
          <w:rFonts w:ascii="Arial" w:eastAsia="Arial" w:hAnsi="Arial" w:cs="Arial"/>
          <w:lang w:val="fr-FR"/>
        </w:rPr>
        <w:t xml:space="preserve">au nom du directeur exécutif de l'AFREC, </w:t>
      </w:r>
      <w:r w:rsidR="00166C1B">
        <w:rPr>
          <w:rFonts w:ascii="Arial" w:eastAsia="Arial" w:hAnsi="Arial" w:cs="Arial"/>
          <w:lang w:val="fr-FR"/>
        </w:rPr>
        <w:t>Mr. OUEDDO</w:t>
      </w:r>
      <w:r w:rsidRPr="00D11710">
        <w:rPr>
          <w:rFonts w:ascii="Arial" w:eastAsia="Arial" w:hAnsi="Arial" w:cs="Arial"/>
          <w:lang w:val="fr-FR"/>
        </w:rPr>
        <w:t xml:space="preserve"> a remercié le gouvernement togolais, les États membres et l'étroite collaboration de la DSNU. </w:t>
      </w:r>
      <w:r w:rsidR="00166C1B">
        <w:rPr>
          <w:rFonts w:ascii="Arial" w:eastAsia="Arial" w:hAnsi="Arial" w:cs="Arial"/>
          <w:lang w:val="fr-FR"/>
        </w:rPr>
        <w:t>Il</w:t>
      </w:r>
      <w:r w:rsidRPr="00D11710">
        <w:rPr>
          <w:rFonts w:ascii="Arial" w:eastAsia="Arial" w:hAnsi="Arial" w:cs="Arial"/>
          <w:lang w:val="fr-FR"/>
        </w:rPr>
        <w:t xml:space="preserve"> a </w:t>
      </w:r>
      <w:r w:rsidR="00166C1B">
        <w:rPr>
          <w:rFonts w:ascii="Arial" w:eastAsia="Arial" w:hAnsi="Arial" w:cs="Arial"/>
          <w:lang w:val="fr-FR"/>
        </w:rPr>
        <w:t xml:space="preserve">aussi </w:t>
      </w:r>
      <w:r w:rsidRPr="00D11710">
        <w:rPr>
          <w:rFonts w:ascii="Arial" w:eastAsia="Arial" w:hAnsi="Arial" w:cs="Arial"/>
          <w:lang w:val="fr-FR"/>
        </w:rPr>
        <w:t xml:space="preserve">mis l'accent sur la nécessité d'identifier des outils pour estimer les données bioénergétiques manquantes dans les États membres, en tenant compte des besoins des pays et de la situation en temps réel, de soutenir et de renforcer les capacités de collecte, d'estimation et de diffusion des données bioénergétiques. </w:t>
      </w:r>
    </w:p>
    <w:p w14:paraId="2F872557" w14:textId="77777777" w:rsidR="00D11710" w:rsidRPr="00D11710" w:rsidRDefault="00D11710" w:rsidP="00D11710">
      <w:pPr>
        <w:spacing w:after="0" w:line="240" w:lineRule="auto"/>
        <w:jc w:val="both"/>
        <w:rPr>
          <w:rFonts w:ascii="Arial" w:eastAsia="Arial" w:hAnsi="Arial" w:cs="Arial"/>
          <w:lang w:val="fr-FR"/>
        </w:rPr>
      </w:pPr>
    </w:p>
    <w:p w14:paraId="6EB0496D" w14:textId="09206951" w:rsidR="00D11710" w:rsidRPr="00D11710" w:rsidRDefault="00D11710" w:rsidP="00D11710">
      <w:pPr>
        <w:spacing w:after="0" w:line="240" w:lineRule="auto"/>
        <w:jc w:val="both"/>
        <w:rPr>
          <w:rFonts w:ascii="Arial" w:eastAsia="Arial" w:hAnsi="Arial" w:cs="Arial"/>
          <w:lang w:val="fr-FR"/>
        </w:rPr>
      </w:pPr>
      <w:r w:rsidRPr="00D11710">
        <w:rPr>
          <w:rFonts w:ascii="Arial" w:eastAsia="Arial" w:hAnsi="Arial" w:cs="Arial"/>
          <w:lang w:val="fr-FR"/>
        </w:rPr>
        <w:t>Il y a un besoin urgent de mettre en œuvre des mesures pour atténuer les effets du changement climatique causés par les émissions de gaz à effet de serre grâce à des données fiables et actualisées sur la production, la transformation et la consommation de bioénergie", a déclaré M. SINGO Tchapo, directeur général de l'énergie</w:t>
      </w:r>
      <w:r w:rsidR="00166C1B">
        <w:rPr>
          <w:rFonts w:ascii="Arial" w:eastAsia="Arial" w:hAnsi="Arial" w:cs="Arial"/>
          <w:lang w:val="fr-FR"/>
        </w:rPr>
        <w:t xml:space="preserve">, </w:t>
      </w:r>
      <w:r w:rsidR="00166C1B" w:rsidRPr="00D11710">
        <w:rPr>
          <w:rFonts w:ascii="Arial" w:eastAsia="Arial" w:hAnsi="Arial" w:cs="Arial"/>
          <w:lang w:val="fr-FR"/>
        </w:rPr>
        <w:t>représentant le ministre en charge</w:t>
      </w:r>
      <w:r w:rsidRPr="00D11710">
        <w:rPr>
          <w:rFonts w:ascii="Arial" w:eastAsia="Arial" w:hAnsi="Arial" w:cs="Arial"/>
          <w:lang w:val="fr-FR"/>
        </w:rPr>
        <w:t xml:space="preserve"> de l'énergie et des mines du Togo. Le directeur Tchapo a salué les efforts de l'AFREC et de l'UNSD pour combler les lacunes en matière de statistiques énergétiques, en particulier dans le secteur de la bioénergie.</w:t>
      </w:r>
    </w:p>
    <w:p w14:paraId="7BFDDE18" w14:textId="77777777" w:rsidR="00D11710" w:rsidRPr="00D11710" w:rsidRDefault="00D11710" w:rsidP="00D11710">
      <w:pPr>
        <w:spacing w:after="0" w:line="240" w:lineRule="auto"/>
        <w:jc w:val="both"/>
        <w:rPr>
          <w:rFonts w:ascii="Arial" w:eastAsia="Arial" w:hAnsi="Arial" w:cs="Arial"/>
          <w:lang w:val="fr-FR"/>
        </w:rPr>
      </w:pPr>
    </w:p>
    <w:p w14:paraId="553E3687" w14:textId="77777777" w:rsidR="00D11710" w:rsidRPr="00D11710" w:rsidRDefault="00D11710" w:rsidP="00D11710">
      <w:pPr>
        <w:spacing w:after="0" w:line="240" w:lineRule="auto"/>
        <w:jc w:val="both"/>
        <w:rPr>
          <w:rFonts w:ascii="Arial" w:eastAsia="Arial" w:hAnsi="Arial" w:cs="Arial"/>
          <w:lang w:val="fr-FR"/>
        </w:rPr>
      </w:pPr>
      <w:r w:rsidRPr="00D11710">
        <w:rPr>
          <w:rFonts w:ascii="Arial" w:eastAsia="Arial" w:hAnsi="Arial" w:cs="Arial"/>
          <w:lang w:val="fr-FR"/>
        </w:rPr>
        <w:t xml:space="preserve">La bioénergie est une source d'énergie importante et utile en Afrique, représentant environ 50 % de </w:t>
      </w:r>
      <w:r w:rsidRPr="00D11710">
        <w:rPr>
          <w:rFonts w:ascii="Arial" w:eastAsia="Arial" w:hAnsi="Arial" w:cs="Arial"/>
          <w:highlight w:val="yellow"/>
          <w:lang w:val="fr-FR"/>
        </w:rPr>
        <w:t>l'approvisionnement total en énergie primaire</w:t>
      </w:r>
      <w:r w:rsidRPr="00D11710">
        <w:rPr>
          <w:rFonts w:ascii="Arial" w:eastAsia="Arial" w:hAnsi="Arial" w:cs="Arial"/>
          <w:lang w:val="fr-FR"/>
        </w:rPr>
        <w:t>. Il est donc essentiel d'améliorer la diffusion des données sur la bioénergie et de mettre au point un mécanisme d'harmonisation des processus de collecte et de gestion des données, afin de permettre une estimation et une diffusion précises de la consommation de biomasse en Afrique.</w:t>
      </w:r>
    </w:p>
    <w:p w14:paraId="4EBEC3F7" w14:textId="77777777" w:rsidR="00D11710" w:rsidRPr="00D11710" w:rsidRDefault="00D11710" w:rsidP="00D11710">
      <w:pPr>
        <w:spacing w:after="0" w:line="240" w:lineRule="auto"/>
        <w:jc w:val="both"/>
        <w:rPr>
          <w:rFonts w:ascii="Arial" w:eastAsia="Arial" w:hAnsi="Arial" w:cs="Arial"/>
          <w:lang w:val="fr-FR"/>
        </w:rPr>
      </w:pPr>
    </w:p>
    <w:p w14:paraId="0770BC4A" w14:textId="77777777" w:rsidR="00D11710" w:rsidRPr="00D11710" w:rsidRDefault="00D11710" w:rsidP="00D11710">
      <w:pPr>
        <w:spacing w:after="0" w:line="240" w:lineRule="auto"/>
        <w:jc w:val="both"/>
        <w:rPr>
          <w:rFonts w:ascii="Arial" w:eastAsia="Arial" w:hAnsi="Arial" w:cs="Arial"/>
          <w:lang w:val="fr-FR"/>
        </w:rPr>
      </w:pPr>
      <w:r w:rsidRPr="00D11710">
        <w:rPr>
          <w:rFonts w:ascii="Arial" w:eastAsia="Arial" w:hAnsi="Arial" w:cs="Arial"/>
          <w:lang w:val="fr-FR"/>
        </w:rPr>
        <w:t xml:space="preserve">La bioénergie est la plus grande inconnue en termes d'énergie. Cette incertitude obscurcit notre compréhension de la meilleure façon de procéder et d'assurer un développement durable. La bioénergie ajoute également une grande variance aux indicateurs tels que l'objectif de développement durable 7.2.1 sur les énergies renouvelables", a déclaré M. Leonardo Rocha Souza, chef de la section des statistiques de l'énergie de la DSNU. </w:t>
      </w:r>
    </w:p>
    <w:p w14:paraId="0AF42965" w14:textId="77777777" w:rsidR="00D11710" w:rsidRPr="00D11710" w:rsidRDefault="00D11710" w:rsidP="00D11710">
      <w:pPr>
        <w:spacing w:after="0" w:line="240" w:lineRule="auto"/>
        <w:jc w:val="both"/>
        <w:rPr>
          <w:rFonts w:ascii="Arial" w:eastAsia="Arial" w:hAnsi="Arial" w:cs="Arial"/>
          <w:lang w:val="fr-FR"/>
        </w:rPr>
      </w:pPr>
    </w:p>
    <w:p w14:paraId="677ECC92" w14:textId="44A2C7EE" w:rsidR="007A283B" w:rsidRPr="00D11710" w:rsidRDefault="00D11710" w:rsidP="007A283B">
      <w:pPr>
        <w:spacing w:after="0" w:line="240" w:lineRule="auto"/>
        <w:jc w:val="both"/>
        <w:rPr>
          <w:rFonts w:ascii="Arial" w:eastAsia="Arial" w:hAnsi="Arial" w:cs="Arial"/>
          <w:lang w:val="fr-FR"/>
        </w:rPr>
      </w:pPr>
      <w:r w:rsidRPr="00D11710">
        <w:rPr>
          <w:rFonts w:ascii="Arial" w:eastAsia="Arial" w:hAnsi="Arial" w:cs="Arial"/>
          <w:lang w:val="fr-FR"/>
        </w:rPr>
        <w:t>Par conséquent, le cadre AFBIDM constitue la première étape vers le renforcement du secteur de la bioénergie et peut aider les décideurs à mieux comprendre le potentiel de la bioénergie, à optimiser la planification et les investissements énergétiques en mettant en œuvre les recommandations, et à contribuer à un avenir plus durable grâce à des informations fondées sur des données probantes.</w:t>
      </w:r>
    </w:p>
    <w:p w14:paraId="067AEE42" w14:textId="77777777" w:rsidR="007A283B" w:rsidRPr="00D11710" w:rsidRDefault="007A283B" w:rsidP="007A283B">
      <w:pPr>
        <w:spacing w:after="0" w:line="240" w:lineRule="auto"/>
        <w:jc w:val="both"/>
        <w:rPr>
          <w:rFonts w:ascii="Arial" w:eastAsia="Arial" w:hAnsi="Arial" w:cs="Arial"/>
          <w:lang w:val="fr-FR"/>
        </w:rPr>
      </w:pPr>
    </w:p>
    <w:p w14:paraId="35131F10" w14:textId="77777777" w:rsidR="007A283B" w:rsidRPr="00603EA0" w:rsidRDefault="007A283B" w:rsidP="007A283B">
      <w:pPr>
        <w:spacing w:line="360" w:lineRule="auto"/>
        <w:jc w:val="both"/>
        <w:rPr>
          <w:rFonts w:ascii="Arial" w:eastAsia="Arial" w:hAnsi="Arial" w:cs="Arial"/>
          <w:lang w:val="fr-FR"/>
        </w:rPr>
      </w:pPr>
      <w:r w:rsidRPr="00D11710">
        <w:rPr>
          <w:rFonts w:ascii="Arial" w:eastAsia="Arial" w:hAnsi="Arial" w:cs="Arial"/>
          <w:lang w:val="fr-FR"/>
        </w:rPr>
        <w:tab/>
      </w:r>
      <w:r w:rsidRPr="00D11710">
        <w:rPr>
          <w:rFonts w:ascii="Arial" w:eastAsia="Arial" w:hAnsi="Arial" w:cs="Arial"/>
          <w:lang w:val="fr-FR"/>
        </w:rPr>
        <w:tab/>
      </w:r>
      <w:r w:rsidR="004A04AE" w:rsidRPr="00D11710">
        <w:rPr>
          <w:rFonts w:ascii="Arial" w:eastAsia="Arial" w:hAnsi="Arial" w:cs="Arial"/>
          <w:lang w:val="fr-FR"/>
        </w:rPr>
        <w:tab/>
      </w:r>
      <w:r w:rsidRPr="00D11710">
        <w:rPr>
          <w:rFonts w:ascii="Arial" w:eastAsia="Arial" w:hAnsi="Arial" w:cs="Arial"/>
          <w:lang w:val="fr-FR"/>
        </w:rPr>
        <w:tab/>
      </w:r>
      <w:r w:rsidRPr="00603EA0">
        <w:rPr>
          <w:rFonts w:ascii="Arial" w:eastAsia="Arial" w:hAnsi="Arial" w:cs="Arial"/>
          <w:lang w:val="fr-FR"/>
        </w:rPr>
        <w:t>#</w:t>
      </w:r>
      <w:r w:rsidRPr="00603EA0">
        <w:rPr>
          <w:rFonts w:ascii="Arial" w:eastAsia="Arial" w:hAnsi="Arial" w:cs="Arial"/>
          <w:lang w:val="fr-FR"/>
        </w:rPr>
        <w:tab/>
      </w:r>
      <w:r w:rsidRPr="00603EA0">
        <w:rPr>
          <w:rFonts w:ascii="Arial" w:eastAsia="Arial" w:hAnsi="Arial" w:cs="Arial"/>
          <w:lang w:val="fr-FR"/>
        </w:rPr>
        <w:tab/>
      </w:r>
      <w:r w:rsidRPr="00603EA0">
        <w:rPr>
          <w:rFonts w:ascii="Arial" w:eastAsia="Arial" w:hAnsi="Arial" w:cs="Arial"/>
          <w:lang w:val="fr-FR"/>
        </w:rPr>
        <w:tab/>
        <w:t>#</w:t>
      </w:r>
    </w:p>
    <w:p w14:paraId="1C095C2E" w14:textId="77777777" w:rsidR="001779A5" w:rsidRPr="00D11710" w:rsidRDefault="001779A5" w:rsidP="001779A5">
      <w:pPr>
        <w:spacing w:line="360" w:lineRule="auto"/>
        <w:jc w:val="both"/>
        <w:rPr>
          <w:rFonts w:ascii="Arial" w:hAnsi="Arial"/>
          <w:b/>
          <w:lang w:val="fr-FR"/>
        </w:rPr>
      </w:pPr>
      <w:r w:rsidRPr="00D11710">
        <w:rPr>
          <w:rFonts w:ascii="Arial" w:hAnsi="Arial"/>
          <w:b/>
          <w:lang w:val="fr-FR"/>
        </w:rPr>
        <w:t>Notes à l'éditeur</w:t>
      </w:r>
    </w:p>
    <w:p w14:paraId="03D30C5C" w14:textId="77777777" w:rsidR="001779A5" w:rsidRPr="001779A5" w:rsidRDefault="001779A5" w:rsidP="001779A5">
      <w:pPr>
        <w:spacing w:line="360" w:lineRule="auto"/>
        <w:jc w:val="both"/>
        <w:rPr>
          <w:rFonts w:ascii="Arial" w:hAnsi="Arial" w:cs="Arial"/>
          <w:b/>
          <w:bCs/>
          <w:i/>
          <w:iCs/>
          <w:lang w:val="fr-FR"/>
        </w:rPr>
      </w:pPr>
      <w:r w:rsidRPr="001779A5">
        <w:rPr>
          <w:rFonts w:ascii="Arial" w:hAnsi="Arial" w:cs="Arial"/>
          <w:b/>
          <w:bCs/>
          <w:i/>
          <w:iCs/>
          <w:lang w:val="fr-FR"/>
        </w:rPr>
        <w:t xml:space="preserve">À propos du Cadre stratégique pour la gestion des données sur la bioénergie en Afrique (AFBIDM) </w:t>
      </w:r>
    </w:p>
    <w:p w14:paraId="20436E8D" w14:textId="3601F2F9" w:rsidR="001779A5" w:rsidRPr="001779A5" w:rsidRDefault="001779A5" w:rsidP="001779A5">
      <w:pPr>
        <w:spacing w:line="360" w:lineRule="auto"/>
        <w:jc w:val="both"/>
        <w:rPr>
          <w:rFonts w:ascii="Arial" w:hAnsi="Arial"/>
          <w:i/>
          <w:color w:val="000000" w:themeColor="text1"/>
          <w:sz w:val="21"/>
          <w:lang w:val="fr-FR"/>
        </w:rPr>
      </w:pPr>
      <w:r w:rsidRPr="001779A5">
        <w:rPr>
          <w:rFonts w:ascii="Arial" w:hAnsi="Arial"/>
          <w:i/>
          <w:color w:val="000000" w:themeColor="text1"/>
          <w:sz w:val="21"/>
          <w:lang w:val="fr-FR"/>
        </w:rPr>
        <w:t xml:space="preserve">L'AFBIDM est un cadre politique de l'AFREC qui vise à fournir des lignes directrices sur les rôles et responsabilités des États membres de l'UA en matière de coordination efficace de la gestion des données sur la bioénergie en Afrique. Il comprend des sections interconnectées à savoir (i) la justification et l'objectif de </w:t>
      </w:r>
      <w:proofErr w:type="gramStart"/>
      <w:r w:rsidRPr="001779A5">
        <w:rPr>
          <w:rFonts w:ascii="Arial" w:hAnsi="Arial"/>
          <w:i/>
          <w:color w:val="000000" w:themeColor="text1"/>
          <w:sz w:val="21"/>
          <w:lang w:val="fr-FR"/>
        </w:rPr>
        <w:t>l'AFBIDM;</w:t>
      </w:r>
      <w:proofErr w:type="gramEnd"/>
      <w:r w:rsidRPr="001779A5">
        <w:rPr>
          <w:rFonts w:ascii="Arial" w:hAnsi="Arial"/>
          <w:i/>
          <w:color w:val="000000" w:themeColor="text1"/>
          <w:sz w:val="21"/>
          <w:lang w:val="fr-FR"/>
        </w:rPr>
        <w:t xml:space="preserve"> (ii) le contexte et pourquoi la bioénergie est importante sur notre continent; (iii) l'état actuel des données sur la bioénergie en Afrique; (iv) les lignes directrices pour la conception et la mise en œuvre de l'AFBIDM; (v) le partenariat institutionnel pour un cadre opérationnel de gestion des données durables; et enfin (vi) la feuille de route et le budget préliminaire.</w:t>
      </w:r>
    </w:p>
    <w:p w14:paraId="2A6975CE" w14:textId="77777777" w:rsidR="001779A5" w:rsidRDefault="001779A5" w:rsidP="001779A5">
      <w:pPr>
        <w:spacing w:after="150" w:line="360" w:lineRule="auto"/>
        <w:rPr>
          <w:rFonts w:ascii="Arial" w:eastAsia="Times New Roman" w:hAnsi="Arial" w:cs="Arial"/>
          <w:color w:val="000000" w:themeColor="text1"/>
          <w:sz w:val="21"/>
          <w:szCs w:val="21"/>
          <w:lang w:val="fr-FR"/>
        </w:rPr>
      </w:pPr>
      <w:r>
        <w:rPr>
          <w:rFonts w:ascii="Arial" w:hAnsi="Arial"/>
          <w:b/>
          <w:color w:val="000000" w:themeColor="text1"/>
          <w:sz w:val="21"/>
          <w:lang w:val="fr-FR"/>
        </w:rPr>
        <w:t>À propos de la Commission africaine de l'énergie</w:t>
      </w:r>
    </w:p>
    <w:p w14:paraId="2AD92539" w14:textId="77777777" w:rsidR="001779A5" w:rsidRDefault="001779A5" w:rsidP="001779A5">
      <w:pPr>
        <w:spacing w:after="150" w:line="360" w:lineRule="auto"/>
        <w:jc w:val="both"/>
        <w:rPr>
          <w:rFonts w:ascii="Arial" w:eastAsia="Times New Roman" w:hAnsi="Arial" w:cs="Arial"/>
          <w:color w:val="000000" w:themeColor="text1"/>
          <w:sz w:val="21"/>
          <w:szCs w:val="21"/>
          <w:lang w:val="fr-FR"/>
        </w:rPr>
      </w:pPr>
      <w:r>
        <w:rPr>
          <w:rFonts w:ascii="Arial" w:hAnsi="Arial"/>
          <w:i/>
          <w:color w:val="000000" w:themeColor="text1"/>
          <w:sz w:val="21"/>
          <w:lang w:val="fr-FR"/>
        </w:rPr>
        <w:t>La Commission africaine de l'énergie (AFREC) est une agence spécialisée de l'Union africaine, chargée de mettre en œuvre les programmes énergétiques africains en assurant la coordination, l'harmonisation, la protection, la conservation, le développement, la promotion de l'exploitation rationnelle, la commercialisation et l'intégration des ressources énergétiques pour tous les États membres de l'UA.</w:t>
      </w:r>
    </w:p>
    <w:p w14:paraId="6775B6D3" w14:textId="77777777" w:rsidR="001779A5" w:rsidRDefault="001779A5" w:rsidP="001779A5">
      <w:pPr>
        <w:spacing w:after="150" w:line="360" w:lineRule="auto"/>
        <w:jc w:val="both"/>
        <w:rPr>
          <w:rFonts w:ascii="Arial" w:eastAsia="Times New Roman" w:hAnsi="Arial" w:cs="Arial"/>
          <w:color w:val="000000" w:themeColor="text1"/>
          <w:sz w:val="21"/>
          <w:szCs w:val="21"/>
          <w:lang w:val="fr-FR"/>
        </w:rPr>
      </w:pPr>
      <w:r>
        <w:rPr>
          <w:rFonts w:ascii="Arial" w:hAnsi="Arial"/>
          <w:i/>
          <w:color w:val="000000" w:themeColor="text1"/>
          <w:sz w:val="21"/>
          <w:lang w:val="fr-FR"/>
        </w:rPr>
        <w:lastRenderedPageBreak/>
        <w:t>L'AFREC est également chargée de la conception, de la création et de la mise en place de la base de données continentale sur l'énergie, et de faciliter la diffusion rapide des informations entre les États membres de l'UA, les communautés économiques régionales en Afrique, les investisseurs, etc.</w:t>
      </w:r>
    </w:p>
    <w:p w14:paraId="29F3A28E" w14:textId="77777777" w:rsidR="001779A5" w:rsidRDefault="001779A5" w:rsidP="001779A5">
      <w:pPr>
        <w:spacing w:after="0" w:line="240" w:lineRule="auto"/>
        <w:rPr>
          <w:rFonts w:ascii="Arial" w:eastAsia="Times New Roman" w:hAnsi="Arial" w:cs="Arial"/>
          <w:color w:val="000000" w:themeColor="text1"/>
          <w:sz w:val="24"/>
          <w:szCs w:val="24"/>
          <w:lang w:val="fr-FR" w:eastAsia="en-GB"/>
        </w:rPr>
      </w:pPr>
    </w:p>
    <w:p w14:paraId="02AFFCA1" w14:textId="77777777" w:rsidR="001779A5" w:rsidRDefault="001779A5" w:rsidP="001779A5">
      <w:pPr>
        <w:spacing w:line="360" w:lineRule="auto"/>
        <w:jc w:val="both"/>
        <w:rPr>
          <w:rFonts w:ascii="Arial" w:eastAsiaTheme="minorHAnsi" w:hAnsi="Arial" w:cs="Arial"/>
          <w:b/>
          <w:lang w:val="fr-FR"/>
        </w:rPr>
      </w:pPr>
      <w:r>
        <w:rPr>
          <w:rFonts w:ascii="Arial" w:hAnsi="Arial"/>
          <w:b/>
          <w:lang w:val="fr-FR"/>
        </w:rPr>
        <w:t>Pour plus d'informations, veuillez contacter :</w:t>
      </w:r>
    </w:p>
    <w:p w14:paraId="347B5434" w14:textId="77777777" w:rsidR="001779A5" w:rsidRDefault="001779A5" w:rsidP="001779A5">
      <w:pPr>
        <w:numPr>
          <w:ilvl w:val="0"/>
          <w:numId w:val="3"/>
        </w:numPr>
        <w:spacing w:line="360" w:lineRule="auto"/>
        <w:jc w:val="both"/>
        <w:rPr>
          <w:rFonts w:ascii="Arial" w:hAnsi="Arial" w:cs="Arial"/>
          <w:color w:val="000000" w:themeColor="text1"/>
          <w:shd w:val="clear" w:color="auto" w:fill="F2F2F7"/>
          <w:lang w:val="fr-FR"/>
        </w:rPr>
      </w:pPr>
      <w:r>
        <w:rPr>
          <w:rFonts w:ascii="Arial" w:hAnsi="Arial"/>
          <w:color w:val="000000" w:themeColor="text1"/>
          <w:lang w:val="fr-FR"/>
        </w:rPr>
        <w:t xml:space="preserve">Mme Ndahafa Nakwafila| Spécialiste de la communication et de l'information| Commission africaine de l'énergie (AFREC) | Union africaine| email : NakwafilaN@africa-union.org| Tel : +213 23 45 9198 | email : afrec@africa-union.org| Site web : </w:t>
      </w:r>
      <w:hyperlink r:id="rId8" w:history="1">
        <w:r>
          <w:rPr>
            <w:rStyle w:val="Hyperlink"/>
            <w:rFonts w:ascii="Arial" w:hAnsi="Arial"/>
            <w:color w:val="000000" w:themeColor="text1"/>
            <w:lang w:val="fr-FR"/>
          </w:rPr>
          <w:t>www.au-afrec.org</w:t>
        </w:r>
      </w:hyperlink>
      <w:r>
        <w:rPr>
          <w:rFonts w:ascii="Arial" w:hAnsi="Arial"/>
          <w:color w:val="000000" w:themeColor="text1"/>
          <w:lang w:val="fr-FR"/>
        </w:rPr>
        <w:t xml:space="preserve"> |Alger |Algérie Suivez-nous sur: </w:t>
      </w:r>
      <w:hyperlink r:id="rId9" w:history="1">
        <w:r>
          <w:rPr>
            <w:rStyle w:val="Hyperlink"/>
            <w:rFonts w:ascii="Arial" w:hAnsi="Arial"/>
            <w:color w:val="000000" w:themeColor="text1"/>
            <w:lang w:val="fr-FR"/>
          </w:rPr>
          <w:t>Facebook</w:t>
        </w:r>
      </w:hyperlink>
      <w:r>
        <w:rPr>
          <w:rFonts w:ascii="Arial" w:hAnsi="Arial"/>
          <w:color w:val="000000" w:themeColor="text1"/>
          <w:lang w:val="fr-FR"/>
        </w:rPr>
        <w:t xml:space="preserve"> | </w:t>
      </w:r>
      <w:hyperlink r:id="rId10" w:history="1">
        <w:r>
          <w:rPr>
            <w:rStyle w:val="Hyperlink"/>
            <w:rFonts w:ascii="Arial" w:hAnsi="Arial"/>
            <w:color w:val="000000" w:themeColor="text1"/>
            <w:lang w:val="fr-FR"/>
          </w:rPr>
          <w:t>Twitter</w:t>
        </w:r>
      </w:hyperlink>
      <w:r>
        <w:rPr>
          <w:rFonts w:ascii="Arial" w:hAnsi="Arial"/>
          <w:color w:val="000000" w:themeColor="text1"/>
          <w:lang w:val="fr-FR"/>
        </w:rPr>
        <w:t xml:space="preserve"> </w:t>
      </w:r>
    </w:p>
    <w:p w14:paraId="7A5A0CB5" w14:textId="77777777" w:rsidR="001779A5" w:rsidRDefault="001779A5" w:rsidP="001779A5">
      <w:pPr>
        <w:numPr>
          <w:ilvl w:val="0"/>
          <w:numId w:val="3"/>
        </w:numPr>
        <w:spacing w:line="360" w:lineRule="auto"/>
        <w:jc w:val="both"/>
        <w:rPr>
          <w:rFonts w:ascii="Arial" w:hAnsi="Arial" w:cs="Arial"/>
          <w:color w:val="000000" w:themeColor="text1"/>
          <w:shd w:val="clear" w:color="auto" w:fill="F2F2F7"/>
          <w:lang w:val="fr-FR"/>
        </w:rPr>
      </w:pPr>
      <w:r>
        <w:rPr>
          <w:rFonts w:ascii="Arial" w:hAnsi="Arial"/>
          <w:color w:val="000000" w:themeColor="text1"/>
          <w:lang w:val="fr-FR"/>
        </w:rPr>
        <w:t>Direction de l'information et de la communication | Commission de l'Union africaine I Courriel : DIC@africanunion.org I Site web : www.au.int I Addis Abeba | Éthiopie</w:t>
      </w:r>
    </w:p>
    <w:p w14:paraId="110026FC" w14:textId="77777777" w:rsidR="00361231" w:rsidRPr="001779A5" w:rsidRDefault="00361231" w:rsidP="0069025F">
      <w:pPr>
        <w:spacing w:after="150" w:line="360" w:lineRule="auto"/>
        <w:jc w:val="both"/>
        <w:rPr>
          <w:rFonts w:ascii="Arial" w:eastAsia="Arial" w:hAnsi="Arial" w:cs="Arial"/>
          <w:b/>
          <w:lang w:val="fr-FR"/>
        </w:rPr>
      </w:pPr>
    </w:p>
    <w:sectPr w:rsidR="00361231" w:rsidRPr="001779A5">
      <w:headerReference w:type="default" r:id="rId11"/>
      <w:footerReference w:type="even" r:id="rId12"/>
      <w:footerReference w:type="default" r:id="rId13"/>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5B8F3" w14:textId="77777777" w:rsidR="00056992" w:rsidRDefault="00056992">
      <w:pPr>
        <w:spacing w:after="0" w:line="240" w:lineRule="auto"/>
      </w:pPr>
      <w:r>
        <w:separator/>
      </w:r>
    </w:p>
  </w:endnote>
  <w:endnote w:type="continuationSeparator" w:id="0">
    <w:p w14:paraId="6D032CCA" w14:textId="77777777" w:rsidR="00056992" w:rsidRDefault="000569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Quattrocento Sans">
    <w:altName w:val="Calibri"/>
    <w:charset w:val="00"/>
    <w:family w:val="swiss"/>
    <w:pitch w:val="variable"/>
    <w:sig w:usb0="800000BF" w:usb1="4000005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3CD92" w14:textId="77777777" w:rsidR="00A60C3A" w:rsidRDefault="000F483A">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end"/>
    </w:r>
  </w:p>
  <w:p w14:paraId="1262378D" w14:textId="77777777" w:rsidR="00A60C3A" w:rsidRDefault="00000000">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5AA2C" w14:textId="77777777" w:rsidR="00A60C3A" w:rsidRDefault="000F483A">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FA4AEC">
      <w:rPr>
        <w:noProof/>
        <w:color w:val="000000"/>
      </w:rPr>
      <w:t>3</w:t>
    </w:r>
    <w:r>
      <w:rPr>
        <w:color w:val="000000"/>
      </w:rPr>
      <w:fldChar w:fldCharType="end"/>
    </w:r>
  </w:p>
  <w:p w14:paraId="5AAE60EE" w14:textId="77777777" w:rsidR="00A60C3A" w:rsidRDefault="00000000">
    <w:pPr>
      <w:pBdr>
        <w:top w:val="nil"/>
        <w:left w:val="nil"/>
        <w:bottom w:val="nil"/>
        <w:right w:val="nil"/>
        <w:between w:val="nil"/>
      </w:pBdr>
      <w:tabs>
        <w:tab w:val="center" w:pos="4513"/>
        <w:tab w:val="right" w:pos="9026"/>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F136F" w14:textId="77777777" w:rsidR="00056992" w:rsidRDefault="00056992">
      <w:pPr>
        <w:spacing w:after="0" w:line="240" w:lineRule="auto"/>
      </w:pPr>
      <w:r>
        <w:separator/>
      </w:r>
    </w:p>
  </w:footnote>
  <w:footnote w:type="continuationSeparator" w:id="0">
    <w:p w14:paraId="2EC569EB" w14:textId="77777777" w:rsidR="00056992" w:rsidRDefault="000569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50" w:type="dxa"/>
      <w:jc w:val="center"/>
      <w:tblBorders>
        <w:bottom w:val="single" w:sz="4" w:space="0" w:color="000000"/>
      </w:tblBorders>
      <w:tblLayout w:type="fixed"/>
      <w:tblLook w:val="0400" w:firstRow="0" w:lastRow="0" w:firstColumn="0" w:lastColumn="0" w:noHBand="0" w:noVBand="1"/>
    </w:tblPr>
    <w:tblGrid>
      <w:gridCol w:w="3571"/>
      <w:gridCol w:w="2639"/>
      <w:gridCol w:w="4140"/>
    </w:tblGrid>
    <w:tr w:rsidR="00A60C3A" w14:paraId="15EF86FB" w14:textId="77777777">
      <w:trPr>
        <w:jc w:val="center"/>
      </w:trPr>
      <w:tc>
        <w:tcPr>
          <w:tcW w:w="3571" w:type="dxa"/>
          <w:shd w:val="clear" w:color="auto" w:fill="auto"/>
        </w:tcPr>
        <w:p w14:paraId="558FEFB7" w14:textId="77777777" w:rsidR="00A60C3A" w:rsidRDefault="000F483A">
          <w:pPr>
            <w:spacing w:after="0" w:line="240" w:lineRule="auto"/>
            <w:jc w:val="center"/>
            <w:rPr>
              <w:rFonts w:ascii="Arial" w:eastAsia="Arial" w:hAnsi="Arial" w:cs="Arial"/>
              <w:b/>
              <w:sz w:val="20"/>
              <w:szCs w:val="20"/>
            </w:rPr>
          </w:pPr>
          <w:r>
            <w:rPr>
              <w:rFonts w:ascii="Arial" w:eastAsia="Arial" w:hAnsi="Arial" w:cs="Arial"/>
              <w:b/>
              <w:sz w:val="20"/>
              <w:szCs w:val="20"/>
            </w:rPr>
            <w:t>AFRICAN ENERGY COMMISSION</w:t>
          </w:r>
        </w:p>
        <w:p w14:paraId="0DEC1E0B" w14:textId="77777777" w:rsidR="00A60C3A" w:rsidRDefault="00000000">
          <w:pPr>
            <w:spacing w:after="0" w:line="240" w:lineRule="auto"/>
            <w:rPr>
              <w:rFonts w:ascii="Arial" w:eastAsia="Arial" w:hAnsi="Arial" w:cs="Arial"/>
              <w:b/>
              <w:sz w:val="20"/>
              <w:szCs w:val="20"/>
            </w:rPr>
          </w:pPr>
        </w:p>
      </w:tc>
      <w:tc>
        <w:tcPr>
          <w:tcW w:w="2639" w:type="dxa"/>
          <w:vMerge w:val="restart"/>
          <w:shd w:val="clear" w:color="auto" w:fill="auto"/>
        </w:tcPr>
        <w:p w14:paraId="36494850" w14:textId="77777777" w:rsidR="00A60C3A" w:rsidRDefault="000F483A">
          <w:pPr>
            <w:spacing w:after="0" w:line="240" w:lineRule="auto"/>
            <w:jc w:val="center"/>
            <w:rPr>
              <w:rFonts w:ascii="Arial" w:eastAsia="Arial" w:hAnsi="Arial" w:cs="Arial"/>
              <w:b/>
              <w:sz w:val="20"/>
              <w:szCs w:val="20"/>
            </w:rPr>
          </w:pPr>
          <w:r>
            <w:rPr>
              <w:noProof/>
              <w:lang w:val="fr-FR" w:eastAsia="fr-FR"/>
            </w:rPr>
            <w:drawing>
              <wp:anchor distT="0" distB="0" distL="114300" distR="114300" simplePos="0" relativeHeight="251659264" behindDoc="0" locked="0" layoutInCell="1" hidden="0" allowOverlap="1" wp14:anchorId="7EB51AAC" wp14:editId="04CD474D">
                <wp:simplePos x="0" y="0"/>
                <wp:positionH relativeFrom="column">
                  <wp:posOffset>-46354</wp:posOffset>
                </wp:positionH>
                <wp:positionV relativeFrom="paragraph">
                  <wp:posOffset>56514</wp:posOffset>
                </wp:positionV>
                <wp:extent cx="1630680" cy="643890"/>
                <wp:effectExtent l="0" t="0" r="0" b="0"/>
                <wp:wrapNone/>
                <wp:docPr id="3" name="image3.png" descr="C:\Users\Baya-pc\Desktop\AFREC 2016\LOGOS AFREC\LOGO AFREC.bmp"/>
                <wp:cNvGraphicFramePr/>
                <a:graphic xmlns:a="http://schemas.openxmlformats.org/drawingml/2006/main">
                  <a:graphicData uri="http://schemas.openxmlformats.org/drawingml/2006/picture">
                    <pic:pic xmlns:pic="http://schemas.openxmlformats.org/drawingml/2006/picture">
                      <pic:nvPicPr>
                        <pic:cNvPr id="0" name="image3.png" descr="C:\Users\Baya-pc\Desktop\AFREC 2016\LOGOS AFREC\LOGO AFREC.bmp"/>
                        <pic:cNvPicPr preferRelativeResize="0"/>
                      </pic:nvPicPr>
                      <pic:blipFill>
                        <a:blip r:embed="rId1"/>
                        <a:srcRect/>
                        <a:stretch>
                          <a:fillRect/>
                        </a:stretch>
                      </pic:blipFill>
                      <pic:spPr>
                        <a:xfrm>
                          <a:off x="0" y="0"/>
                          <a:ext cx="1630680" cy="643890"/>
                        </a:xfrm>
                        <a:prstGeom prst="rect">
                          <a:avLst/>
                        </a:prstGeom>
                        <a:ln/>
                      </pic:spPr>
                    </pic:pic>
                  </a:graphicData>
                </a:graphic>
              </wp:anchor>
            </w:drawing>
          </w:r>
        </w:p>
      </w:tc>
      <w:tc>
        <w:tcPr>
          <w:tcW w:w="4140" w:type="dxa"/>
          <w:shd w:val="clear" w:color="auto" w:fill="auto"/>
        </w:tcPr>
        <w:p w14:paraId="3468075F" w14:textId="77777777" w:rsidR="00A60C3A" w:rsidRDefault="000F483A">
          <w:pPr>
            <w:spacing w:after="0" w:line="240" w:lineRule="auto"/>
            <w:jc w:val="center"/>
            <w:rPr>
              <w:rFonts w:ascii="Arial" w:eastAsia="Arial" w:hAnsi="Arial" w:cs="Arial"/>
              <w:b/>
              <w:sz w:val="20"/>
              <w:szCs w:val="20"/>
            </w:rPr>
          </w:pPr>
          <w:r>
            <w:rPr>
              <w:rFonts w:ascii="Arial" w:eastAsia="Arial" w:hAnsi="Arial" w:cs="Arial"/>
              <w:b/>
              <w:sz w:val="20"/>
              <w:szCs w:val="20"/>
            </w:rPr>
            <w:t>COMMISSION AFRICAINE DE L’ENERGIE</w:t>
          </w:r>
        </w:p>
      </w:tc>
    </w:tr>
    <w:tr w:rsidR="00A60C3A" w14:paraId="68713530" w14:textId="77777777">
      <w:trPr>
        <w:jc w:val="center"/>
      </w:trPr>
      <w:tc>
        <w:tcPr>
          <w:tcW w:w="3571" w:type="dxa"/>
          <w:shd w:val="clear" w:color="auto" w:fill="auto"/>
        </w:tcPr>
        <w:p w14:paraId="2119F8E4" w14:textId="77777777" w:rsidR="00A60C3A" w:rsidRDefault="00000000">
          <w:pPr>
            <w:spacing w:after="0" w:line="240" w:lineRule="auto"/>
            <w:rPr>
              <w:rFonts w:ascii="Arial" w:eastAsia="Arial" w:hAnsi="Arial" w:cs="Arial"/>
              <w:b/>
              <w:sz w:val="20"/>
              <w:szCs w:val="20"/>
            </w:rPr>
          </w:pPr>
        </w:p>
        <w:p w14:paraId="7C6E1505" w14:textId="77777777" w:rsidR="00A60C3A" w:rsidRDefault="000F483A">
          <w:pPr>
            <w:spacing w:after="0" w:line="240" w:lineRule="auto"/>
            <w:rPr>
              <w:rFonts w:ascii="Arial" w:eastAsia="Arial" w:hAnsi="Arial" w:cs="Arial"/>
              <w:b/>
              <w:sz w:val="20"/>
              <w:szCs w:val="20"/>
            </w:rPr>
          </w:pPr>
          <w:r>
            <w:rPr>
              <w:noProof/>
              <w:lang w:val="fr-FR" w:eastAsia="fr-FR"/>
            </w:rPr>
            <w:drawing>
              <wp:anchor distT="0" distB="0" distL="114300" distR="114300" simplePos="0" relativeHeight="251660288" behindDoc="0" locked="0" layoutInCell="1" hidden="0" allowOverlap="1" wp14:anchorId="5235108A" wp14:editId="58C8677B">
                <wp:simplePos x="0" y="0"/>
                <wp:positionH relativeFrom="column">
                  <wp:posOffset>184150</wp:posOffset>
                </wp:positionH>
                <wp:positionV relativeFrom="paragraph">
                  <wp:posOffset>12700</wp:posOffset>
                </wp:positionV>
                <wp:extent cx="1609725" cy="285750"/>
                <wp:effectExtent l="0" t="0" r="0" b="0"/>
                <wp:wrapNone/>
                <wp:docPr id="2" name="image2.png" descr="COMMISSION"/>
                <wp:cNvGraphicFramePr/>
                <a:graphic xmlns:a="http://schemas.openxmlformats.org/drawingml/2006/main">
                  <a:graphicData uri="http://schemas.openxmlformats.org/drawingml/2006/picture">
                    <pic:pic xmlns:pic="http://schemas.openxmlformats.org/drawingml/2006/picture">
                      <pic:nvPicPr>
                        <pic:cNvPr id="0" name="image2.png" descr="COMMISSION"/>
                        <pic:cNvPicPr preferRelativeResize="0"/>
                      </pic:nvPicPr>
                      <pic:blipFill>
                        <a:blip r:embed="rId2"/>
                        <a:srcRect/>
                        <a:stretch>
                          <a:fillRect/>
                        </a:stretch>
                      </pic:blipFill>
                      <pic:spPr>
                        <a:xfrm>
                          <a:off x="0" y="0"/>
                          <a:ext cx="1609725" cy="285750"/>
                        </a:xfrm>
                        <a:prstGeom prst="rect">
                          <a:avLst/>
                        </a:prstGeom>
                        <a:ln/>
                      </pic:spPr>
                    </pic:pic>
                  </a:graphicData>
                </a:graphic>
              </wp:anchor>
            </w:drawing>
          </w:r>
        </w:p>
      </w:tc>
      <w:tc>
        <w:tcPr>
          <w:tcW w:w="2639" w:type="dxa"/>
          <w:vMerge/>
          <w:shd w:val="clear" w:color="auto" w:fill="auto"/>
        </w:tcPr>
        <w:p w14:paraId="26296AFC" w14:textId="77777777" w:rsidR="00A60C3A" w:rsidRDefault="00000000">
          <w:pPr>
            <w:widowControl w:val="0"/>
            <w:pBdr>
              <w:top w:val="nil"/>
              <w:left w:val="nil"/>
              <w:bottom w:val="nil"/>
              <w:right w:val="nil"/>
              <w:between w:val="nil"/>
            </w:pBdr>
            <w:spacing w:after="0" w:line="276" w:lineRule="auto"/>
            <w:rPr>
              <w:rFonts w:ascii="Arial" w:eastAsia="Arial" w:hAnsi="Arial" w:cs="Arial"/>
              <w:b/>
              <w:sz w:val="20"/>
              <w:szCs w:val="20"/>
            </w:rPr>
          </w:pPr>
        </w:p>
      </w:tc>
      <w:tc>
        <w:tcPr>
          <w:tcW w:w="4140" w:type="dxa"/>
          <w:shd w:val="clear" w:color="auto" w:fill="auto"/>
        </w:tcPr>
        <w:p w14:paraId="1DFA1D4A" w14:textId="77777777" w:rsidR="00A60C3A" w:rsidRDefault="00000000">
          <w:pPr>
            <w:spacing w:after="0" w:line="240" w:lineRule="auto"/>
            <w:rPr>
              <w:rFonts w:ascii="Arial" w:eastAsia="Arial" w:hAnsi="Arial" w:cs="Arial"/>
              <w:b/>
              <w:sz w:val="20"/>
              <w:szCs w:val="20"/>
            </w:rPr>
          </w:pPr>
        </w:p>
        <w:p w14:paraId="1F426E43" w14:textId="77777777" w:rsidR="00A60C3A" w:rsidRDefault="00000000">
          <w:pPr>
            <w:spacing w:after="0" w:line="240" w:lineRule="auto"/>
            <w:rPr>
              <w:rFonts w:ascii="Arial" w:eastAsia="Arial" w:hAnsi="Arial" w:cs="Arial"/>
              <w:b/>
              <w:sz w:val="20"/>
              <w:szCs w:val="20"/>
            </w:rPr>
          </w:pPr>
        </w:p>
        <w:p w14:paraId="528CB3AA" w14:textId="77777777" w:rsidR="00A60C3A" w:rsidRDefault="000F483A">
          <w:pPr>
            <w:spacing w:after="0" w:line="240" w:lineRule="auto"/>
            <w:jc w:val="center"/>
            <w:rPr>
              <w:rFonts w:ascii="Arial" w:eastAsia="Arial" w:hAnsi="Arial" w:cs="Arial"/>
              <w:b/>
              <w:sz w:val="20"/>
              <w:szCs w:val="20"/>
            </w:rPr>
          </w:pPr>
          <w:r>
            <w:rPr>
              <w:rFonts w:ascii="Arial" w:eastAsia="Arial" w:hAnsi="Arial" w:cs="Arial"/>
              <w:b/>
              <w:sz w:val="20"/>
              <w:szCs w:val="20"/>
            </w:rPr>
            <w:t>COMISSÃO AFRICANA D’ ENERGIA</w:t>
          </w:r>
        </w:p>
        <w:p w14:paraId="7AD56ADA" w14:textId="77777777" w:rsidR="00A60C3A" w:rsidRDefault="00000000">
          <w:pPr>
            <w:spacing w:after="0" w:line="240" w:lineRule="auto"/>
            <w:rPr>
              <w:rFonts w:ascii="Arial" w:eastAsia="Arial" w:hAnsi="Arial" w:cs="Arial"/>
              <w:b/>
              <w:sz w:val="20"/>
              <w:szCs w:val="20"/>
            </w:rPr>
          </w:pPr>
        </w:p>
      </w:tc>
    </w:tr>
  </w:tbl>
  <w:p w14:paraId="5A12665A" w14:textId="77777777" w:rsidR="00A60C3A" w:rsidRDefault="00000000">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2C237E"/>
    <w:multiLevelType w:val="multilevel"/>
    <w:tmpl w:val="A0B24EBA"/>
    <w:lvl w:ilvl="0">
      <w:start w:val="1"/>
      <w:numFmt w:val="decimal"/>
      <w:lvlText w:val="%1."/>
      <w:lvlJc w:val="left"/>
      <w:pPr>
        <w:ind w:left="408" w:hanging="360"/>
      </w:pPr>
    </w:lvl>
    <w:lvl w:ilvl="1">
      <w:start w:val="1"/>
      <w:numFmt w:val="lowerLetter"/>
      <w:lvlText w:val="%2."/>
      <w:lvlJc w:val="left"/>
      <w:pPr>
        <w:ind w:left="1128" w:hanging="360"/>
      </w:pPr>
    </w:lvl>
    <w:lvl w:ilvl="2">
      <w:start w:val="1"/>
      <w:numFmt w:val="lowerRoman"/>
      <w:lvlText w:val="%3."/>
      <w:lvlJc w:val="right"/>
      <w:pPr>
        <w:ind w:left="1848" w:hanging="180"/>
      </w:pPr>
    </w:lvl>
    <w:lvl w:ilvl="3">
      <w:start w:val="1"/>
      <w:numFmt w:val="decimal"/>
      <w:lvlText w:val="%4."/>
      <w:lvlJc w:val="left"/>
      <w:pPr>
        <w:ind w:left="2568" w:hanging="360"/>
      </w:pPr>
    </w:lvl>
    <w:lvl w:ilvl="4">
      <w:start w:val="1"/>
      <w:numFmt w:val="lowerLetter"/>
      <w:lvlText w:val="%5."/>
      <w:lvlJc w:val="left"/>
      <w:pPr>
        <w:ind w:left="3288" w:hanging="360"/>
      </w:pPr>
    </w:lvl>
    <w:lvl w:ilvl="5">
      <w:start w:val="1"/>
      <w:numFmt w:val="lowerRoman"/>
      <w:lvlText w:val="%6."/>
      <w:lvlJc w:val="right"/>
      <w:pPr>
        <w:ind w:left="4008" w:hanging="180"/>
      </w:pPr>
    </w:lvl>
    <w:lvl w:ilvl="6">
      <w:start w:val="1"/>
      <w:numFmt w:val="decimal"/>
      <w:lvlText w:val="%7."/>
      <w:lvlJc w:val="left"/>
      <w:pPr>
        <w:ind w:left="4728" w:hanging="360"/>
      </w:pPr>
    </w:lvl>
    <w:lvl w:ilvl="7">
      <w:start w:val="1"/>
      <w:numFmt w:val="lowerLetter"/>
      <w:lvlText w:val="%8."/>
      <w:lvlJc w:val="left"/>
      <w:pPr>
        <w:ind w:left="5448" w:hanging="360"/>
      </w:pPr>
    </w:lvl>
    <w:lvl w:ilvl="8">
      <w:start w:val="1"/>
      <w:numFmt w:val="lowerRoman"/>
      <w:lvlText w:val="%9."/>
      <w:lvlJc w:val="right"/>
      <w:pPr>
        <w:ind w:left="6168" w:hanging="180"/>
      </w:pPr>
    </w:lvl>
  </w:abstractNum>
  <w:abstractNum w:abstractNumId="1" w15:restartNumberingAfterBreak="0">
    <w:nsid w:val="726A0E5A"/>
    <w:multiLevelType w:val="hybridMultilevel"/>
    <w:tmpl w:val="9B323AF0"/>
    <w:lvl w:ilvl="0" w:tplc="6652B37E">
      <w:start w:val="1"/>
      <w:numFmt w:val="decimal"/>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num w:numId="1" w16cid:durableId="27613382">
    <w:abstractNumId w:val="0"/>
  </w:num>
  <w:num w:numId="2" w16cid:durableId="1777946104">
    <w:abstractNumId w:val="1"/>
  </w:num>
  <w:num w:numId="3" w16cid:durableId="19638079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83B"/>
    <w:rsid w:val="00056992"/>
    <w:rsid w:val="0006720E"/>
    <w:rsid w:val="000E0D81"/>
    <w:rsid w:val="000F483A"/>
    <w:rsid w:val="000F6138"/>
    <w:rsid w:val="00166C1B"/>
    <w:rsid w:val="001779A5"/>
    <w:rsid w:val="00274BF8"/>
    <w:rsid w:val="00283E9B"/>
    <w:rsid w:val="00361231"/>
    <w:rsid w:val="004024F0"/>
    <w:rsid w:val="00404702"/>
    <w:rsid w:val="004312DD"/>
    <w:rsid w:val="004A04AE"/>
    <w:rsid w:val="005748F2"/>
    <w:rsid w:val="005875D4"/>
    <w:rsid w:val="005E0E69"/>
    <w:rsid w:val="00603EA0"/>
    <w:rsid w:val="0069025F"/>
    <w:rsid w:val="00725A31"/>
    <w:rsid w:val="007701C2"/>
    <w:rsid w:val="007737F1"/>
    <w:rsid w:val="007A283B"/>
    <w:rsid w:val="007A7F48"/>
    <w:rsid w:val="007B7E0A"/>
    <w:rsid w:val="0089034F"/>
    <w:rsid w:val="008B2CDA"/>
    <w:rsid w:val="008D5D8F"/>
    <w:rsid w:val="008E058A"/>
    <w:rsid w:val="008F0805"/>
    <w:rsid w:val="00934200"/>
    <w:rsid w:val="00AC3142"/>
    <w:rsid w:val="00AD4B34"/>
    <w:rsid w:val="00B125E5"/>
    <w:rsid w:val="00B66CEE"/>
    <w:rsid w:val="00BF26F0"/>
    <w:rsid w:val="00CD2F48"/>
    <w:rsid w:val="00D11710"/>
    <w:rsid w:val="00D32CA7"/>
    <w:rsid w:val="00D54201"/>
    <w:rsid w:val="00D83F03"/>
    <w:rsid w:val="00E962C1"/>
    <w:rsid w:val="00EB28E9"/>
    <w:rsid w:val="00EE35E8"/>
    <w:rsid w:val="00F0727B"/>
    <w:rsid w:val="00F46256"/>
    <w:rsid w:val="00FA4AEC"/>
    <w:rsid w:val="00FF5DA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B13BF"/>
  <w15:chartTrackingRefBased/>
  <w15:docId w15:val="{9C49EC19-FEDF-4687-AEED-5FAE5ADEA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283B"/>
    <w:rPr>
      <w:rFonts w:ascii="Calibri" w:eastAsia="Calibri" w:hAnsi="Calibri" w:cs="Calibri"/>
      <w:kern w:val="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uiPriority w:val="99"/>
    <w:unhideWhenUsed/>
    <w:rsid w:val="007A283B"/>
    <w:pPr>
      <w:spacing w:after="120" w:line="256" w:lineRule="auto"/>
      <w:ind w:left="360"/>
    </w:pPr>
    <w:rPr>
      <w:rFonts w:cs="Times New Roman"/>
      <w:lang w:val="en-US"/>
    </w:rPr>
  </w:style>
  <w:style w:type="character" w:customStyle="1" w:styleId="BodyTextIndentChar">
    <w:name w:val="Body Text Indent Char"/>
    <w:basedOn w:val="DefaultParagraphFont"/>
    <w:link w:val="BodyTextIndent"/>
    <w:uiPriority w:val="99"/>
    <w:rsid w:val="007A283B"/>
    <w:rPr>
      <w:rFonts w:ascii="Calibri" w:eastAsia="Calibri" w:hAnsi="Calibri" w:cs="Times New Roman"/>
      <w:kern w:val="0"/>
      <w14:ligatures w14:val="none"/>
    </w:rPr>
  </w:style>
  <w:style w:type="character" w:styleId="Hyperlink">
    <w:name w:val="Hyperlink"/>
    <w:basedOn w:val="DefaultParagraphFont"/>
    <w:unhideWhenUsed/>
    <w:rsid w:val="00361231"/>
    <w:rPr>
      <w:color w:val="0000FF"/>
      <w:u w:val="single"/>
    </w:rPr>
  </w:style>
  <w:style w:type="paragraph" w:styleId="Revision">
    <w:name w:val="Revision"/>
    <w:hidden/>
    <w:uiPriority w:val="99"/>
    <w:semiHidden/>
    <w:rsid w:val="004A04AE"/>
    <w:pPr>
      <w:spacing w:after="0" w:line="240" w:lineRule="auto"/>
    </w:pPr>
    <w:rPr>
      <w:rFonts w:ascii="Calibri" w:eastAsia="Calibri" w:hAnsi="Calibri" w:cs="Calibri"/>
      <w:kern w:val="0"/>
      <w:lang w:val="en-GB"/>
      <w14:ligatures w14:val="none"/>
    </w:rPr>
  </w:style>
  <w:style w:type="paragraph" w:styleId="Header">
    <w:name w:val="header"/>
    <w:basedOn w:val="Normal"/>
    <w:link w:val="HeaderChar"/>
    <w:uiPriority w:val="99"/>
    <w:unhideWhenUsed/>
    <w:rsid w:val="004A04AE"/>
    <w:pPr>
      <w:tabs>
        <w:tab w:val="center" w:pos="4703"/>
        <w:tab w:val="right" w:pos="9406"/>
      </w:tabs>
      <w:spacing w:after="0" w:line="240" w:lineRule="auto"/>
    </w:pPr>
  </w:style>
  <w:style w:type="character" w:customStyle="1" w:styleId="HeaderChar">
    <w:name w:val="Header Char"/>
    <w:basedOn w:val="DefaultParagraphFont"/>
    <w:link w:val="Header"/>
    <w:uiPriority w:val="99"/>
    <w:rsid w:val="004A04AE"/>
    <w:rPr>
      <w:rFonts w:ascii="Calibri" w:eastAsia="Calibri" w:hAnsi="Calibri" w:cs="Calibri"/>
      <w:kern w:val="0"/>
      <w:lang w:val="en-GB"/>
      <w14:ligatures w14:val="none"/>
    </w:rPr>
  </w:style>
  <w:style w:type="paragraph" w:styleId="Footer">
    <w:name w:val="footer"/>
    <w:basedOn w:val="Normal"/>
    <w:link w:val="FooterChar"/>
    <w:uiPriority w:val="99"/>
    <w:unhideWhenUsed/>
    <w:rsid w:val="004A04AE"/>
    <w:pPr>
      <w:tabs>
        <w:tab w:val="center" w:pos="4703"/>
        <w:tab w:val="right" w:pos="9406"/>
      </w:tabs>
      <w:spacing w:after="0" w:line="240" w:lineRule="auto"/>
    </w:pPr>
  </w:style>
  <w:style w:type="character" w:customStyle="1" w:styleId="FooterChar">
    <w:name w:val="Footer Char"/>
    <w:basedOn w:val="DefaultParagraphFont"/>
    <w:link w:val="Footer"/>
    <w:uiPriority w:val="99"/>
    <w:rsid w:val="004A04AE"/>
    <w:rPr>
      <w:rFonts w:ascii="Calibri" w:eastAsia="Calibri" w:hAnsi="Calibri" w:cs="Calibri"/>
      <w:kern w:val="0"/>
      <w:lang w:val="en-GB"/>
      <w14:ligatures w14:val="none"/>
    </w:rPr>
  </w:style>
  <w:style w:type="character" w:styleId="UnresolvedMention">
    <w:name w:val="Unresolved Mention"/>
    <w:basedOn w:val="DefaultParagraphFont"/>
    <w:uiPriority w:val="99"/>
    <w:semiHidden/>
    <w:unhideWhenUsed/>
    <w:rsid w:val="008903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677179">
      <w:bodyDiv w:val="1"/>
      <w:marLeft w:val="0"/>
      <w:marRight w:val="0"/>
      <w:marTop w:val="0"/>
      <w:marBottom w:val="0"/>
      <w:divBdr>
        <w:top w:val="none" w:sz="0" w:space="0" w:color="auto"/>
        <w:left w:val="none" w:sz="0" w:space="0" w:color="auto"/>
        <w:bottom w:val="none" w:sz="0" w:space="0" w:color="auto"/>
        <w:right w:val="none" w:sz="0" w:space="0" w:color="auto"/>
      </w:divBdr>
    </w:div>
    <w:div w:id="128445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u-afrec.or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twitter.com/AU_AFREC" TargetMode="External"/><Relationship Id="rId4" Type="http://schemas.openxmlformats.org/officeDocument/2006/relationships/webSettings" Target="webSettings.xml"/><Relationship Id="rId9" Type="http://schemas.openxmlformats.org/officeDocument/2006/relationships/hyperlink" Target="https://www.facebook.com/AUAFREC"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898</Words>
  <Characters>5123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Awa Cheikh</dc:creator>
  <cp:keywords/>
  <dc:description/>
  <cp:lastModifiedBy>Awa Cheikh</cp:lastModifiedBy>
  <cp:revision>4</cp:revision>
  <dcterms:created xsi:type="dcterms:W3CDTF">2023-04-30T14:58:00Z</dcterms:created>
  <dcterms:modified xsi:type="dcterms:W3CDTF">2023-04-30T15:01:00Z</dcterms:modified>
</cp:coreProperties>
</file>